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E2F0" w14:textId="19CDD5EB" w:rsidR="00092F1F" w:rsidRPr="00367207" w:rsidRDefault="00367207" w:rsidP="00367207">
      <w:pPr>
        <w:jc w:val="center"/>
        <w:rPr>
          <w:b/>
          <w:sz w:val="21"/>
          <w:szCs w:val="21"/>
          <w:u w:val="single"/>
        </w:rPr>
      </w:pPr>
      <w:r w:rsidRPr="00367207">
        <w:rPr>
          <w:b/>
          <w:sz w:val="21"/>
          <w:szCs w:val="21"/>
          <w:u w:val="single"/>
        </w:rPr>
        <w:t>Addition to Retirement</w:t>
      </w:r>
      <w:r w:rsidR="00CC3023">
        <w:rPr>
          <w:b/>
          <w:sz w:val="21"/>
          <w:szCs w:val="21"/>
          <w:u w:val="single"/>
        </w:rPr>
        <w:t xml:space="preserve"> and OPEB</w:t>
      </w:r>
      <w:r w:rsidRPr="00367207">
        <w:rPr>
          <w:b/>
          <w:sz w:val="21"/>
          <w:szCs w:val="21"/>
          <w:u w:val="single"/>
        </w:rPr>
        <w:t xml:space="preserve"> Note</w:t>
      </w:r>
      <w:r>
        <w:rPr>
          <w:b/>
          <w:sz w:val="21"/>
          <w:szCs w:val="21"/>
          <w:u w:val="single"/>
        </w:rPr>
        <w:t xml:space="preserve"> for Former RESA Fiscal Agents</w:t>
      </w:r>
      <w:r w:rsidR="00065D22">
        <w:rPr>
          <w:b/>
          <w:sz w:val="21"/>
          <w:szCs w:val="21"/>
          <w:u w:val="single"/>
        </w:rPr>
        <w:t xml:space="preserve"> (Note 10</w:t>
      </w:r>
      <w:r w:rsidR="00CC3023">
        <w:rPr>
          <w:b/>
          <w:sz w:val="21"/>
          <w:szCs w:val="21"/>
          <w:u w:val="single"/>
        </w:rPr>
        <w:t xml:space="preserve"> and 11</w:t>
      </w:r>
      <w:r w:rsidR="00065D22">
        <w:rPr>
          <w:b/>
          <w:sz w:val="21"/>
          <w:szCs w:val="21"/>
          <w:u w:val="single"/>
        </w:rPr>
        <w:t xml:space="preserve"> on FS Notes template)</w:t>
      </w:r>
    </w:p>
    <w:p w14:paraId="6A2F01BA" w14:textId="77777777" w:rsidR="00367207" w:rsidRDefault="00367207" w:rsidP="00092F1F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</w:p>
    <w:p w14:paraId="28623608" w14:textId="77777777" w:rsidR="00367207" w:rsidRDefault="00367207" w:rsidP="00092F1F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</w:p>
    <w:p w14:paraId="5ABF953D" w14:textId="77777777" w:rsidR="00092F1F" w:rsidRPr="0088027A" w:rsidRDefault="00092F1F" w:rsidP="00092F1F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  <w:r w:rsidRPr="0088027A">
        <w:rPr>
          <w:rFonts w:asciiTheme="minorHAnsi" w:eastAsiaTheme="minorHAnsi" w:hAnsiTheme="minorHAnsi" w:cstheme="minorBidi"/>
          <w:sz w:val="21"/>
          <w:szCs w:val="21"/>
        </w:rPr>
        <w:t xml:space="preserve">In 2017, W. Va. Code § 18-2-26 was amended and reenacted by the State legislature, leading to the ultimate abolishment and dissolution of all regional education service agencies (RESAs) by no later than July 1, 2018.  </w:t>
      </w:r>
      <w:r w:rsidR="002E3CBF">
        <w:rPr>
          <w:rFonts w:asciiTheme="minorHAnsi" w:eastAsiaTheme="minorHAnsi" w:hAnsiTheme="minorHAnsi" w:cstheme="minorBidi"/>
          <w:sz w:val="21"/>
          <w:szCs w:val="21"/>
        </w:rPr>
        <w:br/>
      </w:r>
    </w:p>
    <w:p w14:paraId="02CD382E" w14:textId="77777777" w:rsidR="002E3CBF" w:rsidRPr="0088027A" w:rsidRDefault="00177B30" w:rsidP="002E3CBF">
      <w:p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64515D">
        <w:rPr>
          <w:sz w:val="21"/>
          <w:szCs w:val="21"/>
        </w:rPr>
        <w:t>School Board is</w:t>
      </w:r>
      <w:r>
        <w:rPr>
          <w:sz w:val="21"/>
          <w:szCs w:val="21"/>
        </w:rPr>
        <w:t xml:space="preserve"> a formal fiscal agent of RESA ___.  </w:t>
      </w:r>
      <w:r w:rsidR="002E3CBF" w:rsidRPr="0088027A">
        <w:rPr>
          <w:sz w:val="21"/>
          <w:szCs w:val="21"/>
        </w:rPr>
        <w:t xml:space="preserve">For financial statement purposes up through the fiscal year ended June 30, 2018, the amounts presented on the </w:t>
      </w:r>
      <w:r w:rsidR="002E3CBF">
        <w:rPr>
          <w:sz w:val="21"/>
          <w:szCs w:val="21"/>
        </w:rPr>
        <w:t xml:space="preserve">audited </w:t>
      </w:r>
      <w:r w:rsidR="002E3CBF" w:rsidRPr="0088027A">
        <w:rPr>
          <w:sz w:val="21"/>
          <w:szCs w:val="21"/>
        </w:rPr>
        <w:t xml:space="preserve">CPRB allocation schedules for the fiscal agent county board of education were split proportionately between the </w:t>
      </w:r>
      <w:r w:rsidR="0064515D">
        <w:rPr>
          <w:sz w:val="21"/>
          <w:szCs w:val="21"/>
        </w:rPr>
        <w:t>School Board</w:t>
      </w:r>
      <w:r w:rsidR="002E3CBF" w:rsidRPr="0088027A">
        <w:rPr>
          <w:sz w:val="21"/>
          <w:szCs w:val="21"/>
        </w:rPr>
        <w:t xml:space="preserve"> and the RESA by estimating the RESA amount of the net pension liability,</w:t>
      </w:r>
      <w:r w:rsidR="00E13A93">
        <w:rPr>
          <w:sz w:val="21"/>
          <w:szCs w:val="21"/>
        </w:rPr>
        <w:t xml:space="preserve"> pension expense,</w:t>
      </w:r>
      <w:r w:rsidR="002E3CBF">
        <w:rPr>
          <w:sz w:val="21"/>
          <w:szCs w:val="21"/>
        </w:rPr>
        <w:t xml:space="preserve"> </w:t>
      </w:r>
      <w:r w:rsidR="002E3CBF" w:rsidRPr="0088027A">
        <w:rPr>
          <w:sz w:val="21"/>
          <w:szCs w:val="21"/>
        </w:rPr>
        <w:t>deferred inflows</w:t>
      </w:r>
      <w:r w:rsidR="002E3CBF">
        <w:rPr>
          <w:sz w:val="21"/>
          <w:szCs w:val="21"/>
        </w:rPr>
        <w:t>,</w:t>
      </w:r>
      <w:r w:rsidR="002E3CBF" w:rsidRPr="0088027A">
        <w:rPr>
          <w:sz w:val="21"/>
          <w:szCs w:val="21"/>
        </w:rPr>
        <w:t xml:space="preserve"> and</w:t>
      </w:r>
      <w:r w:rsidR="002E3CBF">
        <w:rPr>
          <w:sz w:val="21"/>
          <w:szCs w:val="21"/>
        </w:rPr>
        <w:t xml:space="preserve"> deferred</w:t>
      </w:r>
      <w:r w:rsidR="002E3CBF" w:rsidRPr="0088027A">
        <w:rPr>
          <w:sz w:val="21"/>
          <w:szCs w:val="21"/>
        </w:rPr>
        <w:t xml:space="preserve"> outflows.  This estimate was based on the breakdown of payroll data available to th</w:t>
      </w:r>
      <w:r w:rsidR="002E3CBF">
        <w:rPr>
          <w:sz w:val="21"/>
          <w:szCs w:val="21"/>
        </w:rPr>
        <w:t xml:space="preserve">e </w:t>
      </w:r>
      <w:r w:rsidR="0064515D">
        <w:rPr>
          <w:sz w:val="21"/>
          <w:szCs w:val="21"/>
        </w:rPr>
        <w:t>School Board</w:t>
      </w:r>
      <w:r w:rsidR="002E3CBF" w:rsidRPr="0088027A">
        <w:rPr>
          <w:sz w:val="21"/>
          <w:szCs w:val="21"/>
        </w:rPr>
        <w:t>.  Specifically, each entities’ contributions for the fiscal year pertaining to the measurement date to the plan were used to estimate their proportionate share of the</w:t>
      </w:r>
      <w:r w:rsidR="00397FD8">
        <w:rPr>
          <w:sz w:val="21"/>
          <w:szCs w:val="21"/>
        </w:rPr>
        <w:t xml:space="preserve"> </w:t>
      </w:r>
      <w:r w:rsidR="002E3CBF" w:rsidRPr="0088027A">
        <w:rPr>
          <w:sz w:val="21"/>
          <w:szCs w:val="21"/>
        </w:rPr>
        <w:t>net pension liability,</w:t>
      </w:r>
      <w:r w:rsidR="00E13A93">
        <w:rPr>
          <w:sz w:val="21"/>
          <w:szCs w:val="21"/>
        </w:rPr>
        <w:t xml:space="preserve"> pension expense,</w:t>
      </w:r>
      <w:r w:rsidR="002E3CBF" w:rsidRPr="0088027A">
        <w:rPr>
          <w:sz w:val="21"/>
          <w:szCs w:val="21"/>
        </w:rPr>
        <w:t xml:space="preserve"> deferred inflows</w:t>
      </w:r>
      <w:r w:rsidR="00397FD8">
        <w:rPr>
          <w:sz w:val="21"/>
          <w:szCs w:val="21"/>
        </w:rPr>
        <w:t>,</w:t>
      </w:r>
      <w:r w:rsidR="002E3CBF" w:rsidRPr="0088027A">
        <w:rPr>
          <w:sz w:val="21"/>
          <w:szCs w:val="21"/>
        </w:rPr>
        <w:t xml:space="preserve"> and deferred outflows.</w:t>
      </w:r>
    </w:p>
    <w:p w14:paraId="15F0E939" w14:textId="77777777" w:rsidR="00E13A93" w:rsidRDefault="008B6F1F" w:rsidP="00092F1F">
      <w:pPr>
        <w:rPr>
          <w:sz w:val="21"/>
          <w:szCs w:val="21"/>
        </w:rPr>
      </w:pPr>
      <w:r>
        <w:rPr>
          <w:sz w:val="21"/>
          <w:szCs w:val="21"/>
        </w:rPr>
        <w:t>Certain deferred inflows/outflows</w:t>
      </w:r>
      <w:r w:rsidR="0064515D">
        <w:rPr>
          <w:sz w:val="21"/>
          <w:szCs w:val="21"/>
        </w:rPr>
        <w:t xml:space="preserve"> related to </w:t>
      </w:r>
      <w:r w:rsidR="00E13A93">
        <w:rPr>
          <w:sz w:val="21"/>
          <w:szCs w:val="21"/>
        </w:rPr>
        <w:t>pension amounts</w:t>
      </w:r>
      <w:r>
        <w:rPr>
          <w:sz w:val="21"/>
          <w:szCs w:val="21"/>
        </w:rPr>
        <w:t xml:space="preserve"> are amortized over the average service life reported on the respective years’ actuarial report.  Due to the dissolution of the RESAs, the </w:t>
      </w:r>
      <w:r w:rsidR="0064515D">
        <w:rPr>
          <w:sz w:val="21"/>
          <w:szCs w:val="21"/>
        </w:rPr>
        <w:t>School Board</w:t>
      </w:r>
      <w:r>
        <w:rPr>
          <w:sz w:val="21"/>
          <w:szCs w:val="21"/>
        </w:rPr>
        <w:t xml:space="preserve"> will report the deferred inflows/outflows that would have been amortized by the RESA.  </w:t>
      </w:r>
      <w:r w:rsidR="00177B30">
        <w:rPr>
          <w:sz w:val="21"/>
          <w:szCs w:val="21"/>
        </w:rPr>
        <w:t>The prior year</w:t>
      </w:r>
      <w:r w:rsidR="009E21DA">
        <w:rPr>
          <w:sz w:val="21"/>
          <w:szCs w:val="21"/>
        </w:rPr>
        <w:t xml:space="preserve"> RESA </w:t>
      </w:r>
      <w:r w:rsidR="00177B30">
        <w:rPr>
          <w:sz w:val="21"/>
          <w:szCs w:val="21"/>
        </w:rPr>
        <w:t>proportionate share amounts</w:t>
      </w:r>
      <w:r w:rsidR="001E66ED">
        <w:rPr>
          <w:sz w:val="21"/>
          <w:szCs w:val="21"/>
        </w:rPr>
        <w:t xml:space="preserve"> and average service lives</w:t>
      </w:r>
      <w:r>
        <w:rPr>
          <w:sz w:val="21"/>
          <w:szCs w:val="21"/>
        </w:rPr>
        <w:t xml:space="preserve"> used to calculate the deferred inflows/outflows </w:t>
      </w:r>
      <w:r w:rsidR="00903F28">
        <w:rPr>
          <w:sz w:val="21"/>
          <w:szCs w:val="21"/>
        </w:rPr>
        <w:t>amortization</w:t>
      </w:r>
      <w:r w:rsidR="00E13A93">
        <w:rPr>
          <w:sz w:val="21"/>
          <w:szCs w:val="21"/>
        </w:rPr>
        <w:t xml:space="preserve"> amounts</w:t>
      </w:r>
      <w:r w:rsidR="00903F28">
        <w:rPr>
          <w:sz w:val="21"/>
          <w:szCs w:val="21"/>
        </w:rPr>
        <w:t xml:space="preserve"> </w:t>
      </w:r>
      <w:r>
        <w:rPr>
          <w:sz w:val="21"/>
          <w:szCs w:val="21"/>
        </w:rPr>
        <w:t>are as follows:</w:t>
      </w:r>
      <w:r w:rsidR="007467BA">
        <w:rPr>
          <w:sz w:val="21"/>
          <w:szCs w:val="21"/>
        </w:rPr>
        <w:t xml:space="preserve"> </w:t>
      </w:r>
      <w:r w:rsidR="007467BA" w:rsidRPr="002A6BD9">
        <w:rPr>
          <w:i/>
          <w:sz w:val="21"/>
          <w:szCs w:val="21"/>
        </w:rPr>
        <w:t>(amounts come from the RSI schedule titled “Schedule of the District Proportionate Share of the Net Pension Liability”)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1251"/>
        <w:gridCol w:w="1382"/>
        <w:gridCol w:w="1472"/>
        <w:gridCol w:w="1559"/>
        <w:gridCol w:w="1270"/>
      </w:tblGrid>
      <w:tr w:rsidR="00767367" w14:paraId="56C31BC5" w14:textId="77777777" w:rsidTr="00767367">
        <w:tc>
          <w:tcPr>
            <w:tcW w:w="2426" w:type="dxa"/>
          </w:tcPr>
          <w:p w14:paraId="562FDF23" w14:textId="77777777" w:rsidR="00767367" w:rsidRDefault="00767367" w:rsidP="00092F1F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</w:tcPr>
          <w:p w14:paraId="059031BD" w14:textId="77777777" w:rsidR="00767367" w:rsidRPr="00651135" w:rsidRDefault="00767367" w:rsidP="006511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2017</w:t>
            </w:r>
          </w:p>
        </w:tc>
        <w:tc>
          <w:tcPr>
            <w:tcW w:w="1382" w:type="dxa"/>
          </w:tcPr>
          <w:p w14:paraId="07D0C1FB" w14:textId="77777777" w:rsidR="00767367" w:rsidRPr="00651135" w:rsidRDefault="00767367" w:rsidP="00651135">
            <w:pPr>
              <w:jc w:val="center"/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2016</w:t>
            </w:r>
          </w:p>
        </w:tc>
        <w:tc>
          <w:tcPr>
            <w:tcW w:w="1472" w:type="dxa"/>
          </w:tcPr>
          <w:p w14:paraId="6EAE7500" w14:textId="77777777" w:rsidR="00767367" w:rsidRPr="00651135" w:rsidRDefault="00767367" w:rsidP="00651135">
            <w:pPr>
              <w:jc w:val="center"/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14:paraId="35CB7165" w14:textId="77777777" w:rsidR="00767367" w:rsidRPr="00651135" w:rsidRDefault="00767367" w:rsidP="00651135">
            <w:pPr>
              <w:jc w:val="center"/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2014</w:t>
            </w:r>
          </w:p>
        </w:tc>
        <w:tc>
          <w:tcPr>
            <w:tcW w:w="1270" w:type="dxa"/>
          </w:tcPr>
          <w:p w14:paraId="58C9F4D9" w14:textId="77777777" w:rsidR="00767367" w:rsidRPr="00651135" w:rsidRDefault="00767367" w:rsidP="006511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2013</w:t>
            </w:r>
          </w:p>
        </w:tc>
      </w:tr>
      <w:tr w:rsidR="00767367" w14:paraId="1DD2968A" w14:textId="77777777" w:rsidTr="00767367">
        <w:trPr>
          <w:trHeight w:val="377"/>
        </w:trPr>
        <w:tc>
          <w:tcPr>
            <w:tcW w:w="2426" w:type="dxa"/>
          </w:tcPr>
          <w:p w14:paraId="160D46D6" w14:textId="77777777" w:rsidR="00767367" w:rsidRPr="00651135" w:rsidRDefault="00767367" w:rsidP="00092F1F">
            <w:pPr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RESA Proportionate Share</w:t>
            </w:r>
          </w:p>
        </w:tc>
        <w:tc>
          <w:tcPr>
            <w:tcW w:w="1251" w:type="dxa"/>
          </w:tcPr>
          <w:p w14:paraId="1663334C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.000000%</w:t>
            </w:r>
          </w:p>
        </w:tc>
        <w:tc>
          <w:tcPr>
            <w:tcW w:w="1382" w:type="dxa"/>
          </w:tcPr>
          <w:p w14:paraId="76B39CE2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.000000%</w:t>
            </w:r>
          </w:p>
        </w:tc>
        <w:tc>
          <w:tcPr>
            <w:tcW w:w="1472" w:type="dxa"/>
          </w:tcPr>
          <w:p w14:paraId="639685BB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.000000%</w:t>
            </w:r>
          </w:p>
        </w:tc>
        <w:tc>
          <w:tcPr>
            <w:tcW w:w="1559" w:type="dxa"/>
          </w:tcPr>
          <w:p w14:paraId="20954C0C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.000000%</w:t>
            </w:r>
          </w:p>
        </w:tc>
        <w:tc>
          <w:tcPr>
            <w:tcW w:w="1270" w:type="dxa"/>
          </w:tcPr>
          <w:p w14:paraId="1A933E88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.000000%</w:t>
            </w:r>
          </w:p>
        </w:tc>
      </w:tr>
      <w:tr w:rsidR="00767367" w14:paraId="59BBDC4B" w14:textId="77777777" w:rsidTr="00767367">
        <w:trPr>
          <w:trHeight w:val="377"/>
        </w:trPr>
        <w:tc>
          <w:tcPr>
            <w:tcW w:w="2426" w:type="dxa"/>
          </w:tcPr>
          <w:p w14:paraId="32E5E947" w14:textId="77777777" w:rsidR="00767367" w:rsidRPr="00651135" w:rsidRDefault="00767367" w:rsidP="00092F1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Average Service Life</w:t>
            </w:r>
          </w:p>
        </w:tc>
        <w:tc>
          <w:tcPr>
            <w:tcW w:w="1251" w:type="dxa"/>
          </w:tcPr>
          <w:p w14:paraId="393304A9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5.98</w:t>
            </w:r>
          </w:p>
        </w:tc>
        <w:tc>
          <w:tcPr>
            <w:tcW w:w="1382" w:type="dxa"/>
          </w:tcPr>
          <w:p w14:paraId="7546A640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5.96</w:t>
            </w:r>
          </w:p>
        </w:tc>
        <w:tc>
          <w:tcPr>
            <w:tcW w:w="1472" w:type="dxa"/>
          </w:tcPr>
          <w:p w14:paraId="3264E3CE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6.00</w:t>
            </w:r>
          </w:p>
        </w:tc>
        <w:tc>
          <w:tcPr>
            <w:tcW w:w="1559" w:type="dxa"/>
          </w:tcPr>
          <w:p w14:paraId="638427BB" w14:textId="77777777" w:rsidR="00767367" w:rsidRDefault="00767367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5.91</w:t>
            </w:r>
          </w:p>
        </w:tc>
        <w:tc>
          <w:tcPr>
            <w:tcW w:w="1270" w:type="dxa"/>
          </w:tcPr>
          <w:p w14:paraId="5FF51F3A" w14:textId="77777777" w:rsidR="00767367" w:rsidRDefault="0064785F" w:rsidP="00651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14:paraId="16FF1C7D" w14:textId="77777777" w:rsidR="00651135" w:rsidRDefault="00651135" w:rsidP="00092F1F">
      <w:pPr>
        <w:rPr>
          <w:sz w:val="21"/>
          <w:szCs w:val="21"/>
        </w:rPr>
      </w:pPr>
    </w:p>
    <w:p w14:paraId="53F4A8D2" w14:textId="77777777" w:rsidR="00A05A8B" w:rsidRPr="00367207" w:rsidRDefault="00A05A8B" w:rsidP="00A05A8B">
      <w:pPr>
        <w:jc w:val="center"/>
        <w:rPr>
          <w:b/>
          <w:sz w:val="21"/>
          <w:szCs w:val="21"/>
          <w:u w:val="single"/>
        </w:rPr>
      </w:pPr>
      <w:r w:rsidRPr="00367207">
        <w:rPr>
          <w:b/>
          <w:sz w:val="21"/>
          <w:szCs w:val="21"/>
          <w:u w:val="single"/>
        </w:rPr>
        <w:t xml:space="preserve">Addition to </w:t>
      </w:r>
      <w:r w:rsidR="00065D22">
        <w:rPr>
          <w:b/>
          <w:sz w:val="21"/>
          <w:szCs w:val="21"/>
          <w:u w:val="single"/>
        </w:rPr>
        <w:t>OPEB</w:t>
      </w:r>
      <w:r w:rsidRPr="00367207">
        <w:rPr>
          <w:b/>
          <w:sz w:val="21"/>
          <w:szCs w:val="21"/>
          <w:u w:val="single"/>
        </w:rPr>
        <w:t xml:space="preserve"> Note</w:t>
      </w:r>
      <w:r>
        <w:rPr>
          <w:b/>
          <w:sz w:val="21"/>
          <w:szCs w:val="21"/>
          <w:u w:val="single"/>
        </w:rPr>
        <w:t xml:space="preserve"> for Former RESA Fiscal Agents</w:t>
      </w:r>
      <w:r w:rsidR="00065D22">
        <w:rPr>
          <w:b/>
          <w:sz w:val="21"/>
          <w:szCs w:val="21"/>
          <w:u w:val="single"/>
        </w:rPr>
        <w:t xml:space="preserve"> (NOTE 11 on FS </w:t>
      </w:r>
      <w:r w:rsidR="00FB3D89">
        <w:rPr>
          <w:b/>
          <w:sz w:val="21"/>
          <w:szCs w:val="21"/>
          <w:u w:val="single"/>
        </w:rPr>
        <w:t>N</w:t>
      </w:r>
      <w:r w:rsidR="00065D22">
        <w:rPr>
          <w:b/>
          <w:sz w:val="21"/>
          <w:szCs w:val="21"/>
          <w:u w:val="single"/>
        </w:rPr>
        <w:t>otes template)</w:t>
      </w:r>
    </w:p>
    <w:p w14:paraId="6BFD7014" w14:textId="77777777" w:rsidR="00A05A8B" w:rsidRDefault="00A05A8B" w:rsidP="00A05A8B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</w:p>
    <w:p w14:paraId="74C1AFC4" w14:textId="77777777" w:rsidR="00A05A8B" w:rsidRDefault="00A05A8B" w:rsidP="00A05A8B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</w:p>
    <w:p w14:paraId="4580DFD3" w14:textId="77777777" w:rsidR="00A05A8B" w:rsidRPr="0088027A" w:rsidRDefault="00A05A8B" w:rsidP="00A05A8B">
      <w:pPr>
        <w:pStyle w:val="BodyText"/>
        <w:rPr>
          <w:rFonts w:asciiTheme="minorHAnsi" w:eastAsiaTheme="minorHAnsi" w:hAnsiTheme="minorHAnsi" w:cstheme="minorBidi"/>
          <w:sz w:val="21"/>
          <w:szCs w:val="21"/>
        </w:rPr>
      </w:pPr>
      <w:r w:rsidRPr="0088027A">
        <w:rPr>
          <w:rFonts w:asciiTheme="minorHAnsi" w:eastAsiaTheme="minorHAnsi" w:hAnsiTheme="minorHAnsi" w:cstheme="minorBidi"/>
          <w:sz w:val="21"/>
          <w:szCs w:val="21"/>
        </w:rPr>
        <w:t xml:space="preserve">In 2017, W. Va. Code § 18-2-26 was amended and reenacted by the State legislature, leading to the ultimate abolishment and dissolution of all regional education service agencies (RESAs) by no later than July 1, 2018.  </w:t>
      </w:r>
      <w:r>
        <w:rPr>
          <w:rFonts w:asciiTheme="minorHAnsi" w:eastAsiaTheme="minorHAnsi" w:hAnsiTheme="minorHAnsi" w:cstheme="minorBidi"/>
          <w:sz w:val="21"/>
          <w:szCs w:val="21"/>
        </w:rPr>
        <w:br/>
      </w:r>
    </w:p>
    <w:p w14:paraId="7C177199" w14:textId="77777777" w:rsidR="00A05A8B" w:rsidRPr="0088027A" w:rsidRDefault="00A05A8B" w:rsidP="00A05A8B">
      <w:pPr>
        <w:rPr>
          <w:sz w:val="21"/>
          <w:szCs w:val="21"/>
        </w:rPr>
      </w:pPr>
      <w:r>
        <w:rPr>
          <w:sz w:val="21"/>
          <w:szCs w:val="21"/>
        </w:rPr>
        <w:t xml:space="preserve">The School Board is a formal fiscal agent of RESA ___.  </w:t>
      </w:r>
      <w:r w:rsidRPr="0088027A">
        <w:rPr>
          <w:sz w:val="21"/>
          <w:szCs w:val="21"/>
        </w:rPr>
        <w:t xml:space="preserve">For financial statement purposes up through the fiscal year ended June 30, 2018, the amounts presented on the </w:t>
      </w:r>
      <w:r>
        <w:rPr>
          <w:sz w:val="21"/>
          <w:szCs w:val="21"/>
        </w:rPr>
        <w:t xml:space="preserve">audited </w:t>
      </w:r>
      <w:r w:rsidR="00065D22">
        <w:rPr>
          <w:sz w:val="21"/>
          <w:szCs w:val="21"/>
        </w:rPr>
        <w:t>WV RHBT</w:t>
      </w:r>
      <w:r w:rsidRPr="0088027A">
        <w:rPr>
          <w:sz w:val="21"/>
          <w:szCs w:val="21"/>
        </w:rPr>
        <w:t xml:space="preserve"> allocation schedules for the fiscal agent county board of education were split proportionately between the </w:t>
      </w:r>
      <w:r>
        <w:rPr>
          <w:sz w:val="21"/>
          <w:szCs w:val="21"/>
        </w:rPr>
        <w:t>School Board</w:t>
      </w:r>
      <w:r w:rsidRPr="0088027A">
        <w:rPr>
          <w:sz w:val="21"/>
          <w:szCs w:val="21"/>
        </w:rPr>
        <w:t xml:space="preserve"> and the RESA by estimating the RESA amount of the net </w:t>
      </w:r>
      <w:r w:rsidR="00065D22">
        <w:rPr>
          <w:sz w:val="21"/>
          <w:szCs w:val="21"/>
        </w:rPr>
        <w:t>OPEB</w:t>
      </w:r>
      <w:r w:rsidRPr="0088027A">
        <w:rPr>
          <w:sz w:val="21"/>
          <w:szCs w:val="21"/>
        </w:rPr>
        <w:t xml:space="preserve"> liability,</w:t>
      </w:r>
      <w:r>
        <w:rPr>
          <w:sz w:val="21"/>
          <w:szCs w:val="21"/>
        </w:rPr>
        <w:t xml:space="preserve"> </w:t>
      </w:r>
      <w:r w:rsidR="00065D22">
        <w:rPr>
          <w:sz w:val="21"/>
          <w:szCs w:val="21"/>
        </w:rPr>
        <w:t>OPEB</w:t>
      </w:r>
      <w:r>
        <w:rPr>
          <w:sz w:val="21"/>
          <w:szCs w:val="21"/>
        </w:rPr>
        <w:t xml:space="preserve"> expense, </w:t>
      </w:r>
      <w:r w:rsidRPr="0088027A">
        <w:rPr>
          <w:sz w:val="21"/>
          <w:szCs w:val="21"/>
        </w:rPr>
        <w:t>deferred inflows</w:t>
      </w:r>
      <w:r>
        <w:rPr>
          <w:sz w:val="21"/>
          <w:szCs w:val="21"/>
        </w:rPr>
        <w:t>,</w:t>
      </w:r>
      <w:r w:rsidRPr="0088027A">
        <w:rPr>
          <w:sz w:val="21"/>
          <w:szCs w:val="21"/>
        </w:rPr>
        <w:t xml:space="preserve"> and</w:t>
      </w:r>
      <w:r>
        <w:rPr>
          <w:sz w:val="21"/>
          <w:szCs w:val="21"/>
        </w:rPr>
        <w:t xml:space="preserve"> deferred</w:t>
      </w:r>
      <w:r w:rsidRPr="0088027A">
        <w:rPr>
          <w:sz w:val="21"/>
          <w:szCs w:val="21"/>
        </w:rPr>
        <w:t xml:space="preserve"> outflows.  This estimate was based on the breakdown of payroll data available to th</w:t>
      </w:r>
      <w:r>
        <w:rPr>
          <w:sz w:val="21"/>
          <w:szCs w:val="21"/>
        </w:rPr>
        <w:t>e School Board</w:t>
      </w:r>
      <w:r w:rsidRPr="0088027A">
        <w:rPr>
          <w:sz w:val="21"/>
          <w:szCs w:val="21"/>
        </w:rPr>
        <w:t>.  Specifically, each entities’ contributions for the fiscal year pertaining to the measurement date to the plan were used to estimate their proportionate share of the</w:t>
      </w:r>
      <w:r>
        <w:rPr>
          <w:sz w:val="21"/>
          <w:szCs w:val="21"/>
        </w:rPr>
        <w:t xml:space="preserve"> </w:t>
      </w:r>
      <w:r w:rsidRPr="0088027A">
        <w:rPr>
          <w:sz w:val="21"/>
          <w:szCs w:val="21"/>
        </w:rPr>
        <w:t xml:space="preserve">net </w:t>
      </w:r>
      <w:r w:rsidR="00065D22">
        <w:rPr>
          <w:sz w:val="21"/>
          <w:szCs w:val="21"/>
        </w:rPr>
        <w:t>OPEB</w:t>
      </w:r>
      <w:r w:rsidRPr="0088027A">
        <w:rPr>
          <w:sz w:val="21"/>
          <w:szCs w:val="21"/>
        </w:rPr>
        <w:t xml:space="preserve"> liability,</w:t>
      </w:r>
      <w:r>
        <w:rPr>
          <w:sz w:val="21"/>
          <w:szCs w:val="21"/>
        </w:rPr>
        <w:t xml:space="preserve"> </w:t>
      </w:r>
      <w:r w:rsidR="00065D22">
        <w:rPr>
          <w:sz w:val="21"/>
          <w:szCs w:val="21"/>
        </w:rPr>
        <w:t>OPEB</w:t>
      </w:r>
      <w:r>
        <w:rPr>
          <w:sz w:val="21"/>
          <w:szCs w:val="21"/>
        </w:rPr>
        <w:t xml:space="preserve"> expense,</w:t>
      </w:r>
      <w:r w:rsidRPr="0088027A">
        <w:rPr>
          <w:sz w:val="21"/>
          <w:szCs w:val="21"/>
        </w:rPr>
        <w:t xml:space="preserve"> deferred inflows</w:t>
      </w:r>
      <w:r>
        <w:rPr>
          <w:sz w:val="21"/>
          <w:szCs w:val="21"/>
        </w:rPr>
        <w:t>,</w:t>
      </w:r>
      <w:r w:rsidRPr="0088027A">
        <w:rPr>
          <w:sz w:val="21"/>
          <w:szCs w:val="21"/>
        </w:rPr>
        <w:t xml:space="preserve"> and deferred outflows.</w:t>
      </w:r>
    </w:p>
    <w:p w14:paraId="2A6DF385" w14:textId="77777777" w:rsidR="00A05A8B" w:rsidRDefault="00A05A8B" w:rsidP="00A05A8B">
      <w:pPr>
        <w:rPr>
          <w:sz w:val="21"/>
          <w:szCs w:val="21"/>
        </w:rPr>
      </w:pPr>
      <w:r>
        <w:rPr>
          <w:sz w:val="21"/>
          <w:szCs w:val="21"/>
        </w:rPr>
        <w:t xml:space="preserve">Certain deferred inflows/outflows related to </w:t>
      </w:r>
      <w:r w:rsidR="00065D22">
        <w:rPr>
          <w:sz w:val="21"/>
          <w:szCs w:val="21"/>
        </w:rPr>
        <w:t>OPEB</w:t>
      </w:r>
      <w:r>
        <w:rPr>
          <w:sz w:val="21"/>
          <w:szCs w:val="21"/>
        </w:rPr>
        <w:t xml:space="preserve"> amounts are amortized over the average service life reported on the respective years’ actuarial report.  Due to the dissolution of the RESAs, the School Board will report the deferred inflows/outflows that would have been amortized by the RESA.  The prior year RESA proportionate share amounts and average service lives used to calculate the deferred inflows/outflows </w:t>
      </w:r>
      <w:r>
        <w:rPr>
          <w:sz w:val="21"/>
          <w:szCs w:val="21"/>
        </w:rPr>
        <w:lastRenderedPageBreak/>
        <w:t xml:space="preserve">amortization amounts are as follows: </w:t>
      </w:r>
      <w:r w:rsidRPr="002A6BD9">
        <w:rPr>
          <w:i/>
          <w:sz w:val="21"/>
          <w:szCs w:val="21"/>
        </w:rPr>
        <w:t xml:space="preserve">(amounts come from the RSI schedule titled “Schedule of the District Proportionate Share of the Net </w:t>
      </w:r>
      <w:r w:rsidR="00065D22">
        <w:rPr>
          <w:i/>
          <w:sz w:val="21"/>
          <w:szCs w:val="21"/>
        </w:rPr>
        <w:t>OPEB</w:t>
      </w:r>
      <w:r w:rsidRPr="002A6BD9">
        <w:rPr>
          <w:i/>
          <w:sz w:val="21"/>
          <w:szCs w:val="21"/>
        </w:rPr>
        <w:t xml:space="preserve"> Liability”)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710"/>
        <w:gridCol w:w="1710"/>
      </w:tblGrid>
      <w:tr w:rsidR="0064785F" w14:paraId="1D4BF169" w14:textId="77777777" w:rsidTr="00460EF2">
        <w:tc>
          <w:tcPr>
            <w:tcW w:w="3415" w:type="dxa"/>
          </w:tcPr>
          <w:p w14:paraId="5723EF62" w14:textId="77777777" w:rsidR="0064785F" w:rsidRDefault="0064785F" w:rsidP="00F22899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14:paraId="18A37A0A" w14:textId="77777777" w:rsidR="0064785F" w:rsidRPr="00651135" w:rsidRDefault="0064785F" w:rsidP="00F22899">
            <w:pPr>
              <w:jc w:val="center"/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201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710" w:type="dxa"/>
          </w:tcPr>
          <w:p w14:paraId="528D99A3" w14:textId="77777777" w:rsidR="0064785F" w:rsidRPr="00651135" w:rsidRDefault="0064785F" w:rsidP="00F2289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2016</w:t>
            </w:r>
          </w:p>
        </w:tc>
      </w:tr>
      <w:tr w:rsidR="0064785F" w14:paraId="4A9C5C4A" w14:textId="77777777" w:rsidTr="00460EF2">
        <w:trPr>
          <w:trHeight w:val="377"/>
        </w:trPr>
        <w:tc>
          <w:tcPr>
            <w:tcW w:w="3415" w:type="dxa"/>
          </w:tcPr>
          <w:p w14:paraId="057911E7" w14:textId="77777777" w:rsidR="0064785F" w:rsidRPr="00651135" w:rsidRDefault="0064785F" w:rsidP="00F22899">
            <w:pPr>
              <w:rPr>
                <w:b/>
                <w:sz w:val="21"/>
                <w:szCs w:val="21"/>
              </w:rPr>
            </w:pPr>
            <w:r w:rsidRPr="00651135">
              <w:rPr>
                <w:b/>
                <w:sz w:val="21"/>
                <w:szCs w:val="21"/>
              </w:rPr>
              <w:t>RESA Proportionate Share</w:t>
            </w:r>
          </w:p>
        </w:tc>
        <w:tc>
          <w:tcPr>
            <w:tcW w:w="1710" w:type="dxa"/>
          </w:tcPr>
          <w:p w14:paraId="10B08CB5" w14:textId="77777777" w:rsidR="0064785F" w:rsidRDefault="0064785F" w:rsidP="00F22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.000000000%</w:t>
            </w:r>
          </w:p>
        </w:tc>
        <w:tc>
          <w:tcPr>
            <w:tcW w:w="1710" w:type="dxa"/>
          </w:tcPr>
          <w:p w14:paraId="6012C1A9" w14:textId="77777777" w:rsidR="0064785F" w:rsidRDefault="0064785F" w:rsidP="00F22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.000000000%</w:t>
            </w:r>
          </w:p>
        </w:tc>
      </w:tr>
      <w:tr w:rsidR="0064785F" w14:paraId="2EBB8D5A" w14:textId="77777777" w:rsidTr="00460EF2">
        <w:trPr>
          <w:trHeight w:val="377"/>
        </w:trPr>
        <w:tc>
          <w:tcPr>
            <w:tcW w:w="3415" w:type="dxa"/>
          </w:tcPr>
          <w:p w14:paraId="6B8D724D" w14:textId="77777777" w:rsidR="0064785F" w:rsidRPr="00651135" w:rsidRDefault="0064785F" w:rsidP="00F2289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Average Service Life</w:t>
            </w:r>
          </w:p>
        </w:tc>
        <w:tc>
          <w:tcPr>
            <w:tcW w:w="1710" w:type="dxa"/>
          </w:tcPr>
          <w:p w14:paraId="2C66D1A2" w14:textId="77777777" w:rsidR="0064785F" w:rsidRDefault="0064785F" w:rsidP="00F22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4.71</w:t>
            </w:r>
          </w:p>
        </w:tc>
        <w:tc>
          <w:tcPr>
            <w:tcW w:w="1710" w:type="dxa"/>
          </w:tcPr>
          <w:p w14:paraId="7F850FC9" w14:textId="77777777" w:rsidR="0064785F" w:rsidRDefault="0064785F" w:rsidP="00F22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14:paraId="6C2A8EEF" w14:textId="77777777" w:rsidR="00074994" w:rsidRDefault="00074994" w:rsidP="00367207">
      <w:pPr>
        <w:jc w:val="center"/>
        <w:rPr>
          <w:b/>
          <w:sz w:val="21"/>
          <w:szCs w:val="21"/>
          <w:u w:val="single"/>
        </w:rPr>
      </w:pPr>
    </w:p>
    <w:p w14:paraId="37BA4D7A" w14:textId="77777777" w:rsidR="00A05A8B" w:rsidRDefault="00A05A8B" w:rsidP="00367207">
      <w:pPr>
        <w:jc w:val="center"/>
        <w:rPr>
          <w:b/>
          <w:sz w:val="21"/>
          <w:szCs w:val="21"/>
          <w:u w:val="single"/>
        </w:rPr>
      </w:pPr>
    </w:p>
    <w:sectPr w:rsidR="00A0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B7CE4"/>
    <w:multiLevelType w:val="hybridMultilevel"/>
    <w:tmpl w:val="6A1A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1F"/>
    <w:rsid w:val="0004775C"/>
    <w:rsid w:val="00065D22"/>
    <w:rsid w:val="00074994"/>
    <w:rsid w:val="00081BD7"/>
    <w:rsid w:val="00092F1F"/>
    <w:rsid w:val="000B1B4B"/>
    <w:rsid w:val="001344A4"/>
    <w:rsid w:val="00172A05"/>
    <w:rsid w:val="00177B30"/>
    <w:rsid w:val="001E405D"/>
    <w:rsid w:val="001E66ED"/>
    <w:rsid w:val="00202EBD"/>
    <w:rsid w:val="002A6BD9"/>
    <w:rsid w:val="002D3618"/>
    <w:rsid w:val="002E3CBF"/>
    <w:rsid w:val="00367207"/>
    <w:rsid w:val="00374897"/>
    <w:rsid w:val="0039193A"/>
    <w:rsid w:val="0039534F"/>
    <w:rsid w:val="00397FD8"/>
    <w:rsid w:val="003B0723"/>
    <w:rsid w:val="003E0E23"/>
    <w:rsid w:val="004F361B"/>
    <w:rsid w:val="00503633"/>
    <w:rsid w:val="0064515D"/>
    <w:rsid w:val="0064785F"/>
    <w:rsid w:val="00651135"/>
    <w:rsid w:val="006B070B"/>
    <w:rsid w:val="006F4DA9"/>
    <w:rsid w:val="007467BA"/>
    <w:rsid w:val="00767367"/>
    <w:rsid w:val="008A1313"/>
    <w:rsid w:val="008B6F1F"/>
    <w:rsid w:val="00903F28"/>
    <w:rsid w:val="009D4E89"/>
    <w:rsid w:val="009E21DA"/>
    <w:rsid w:val="00A05A8B"/>
    <w:rsid w:val="00A2500B"/>
    <w:rsid w:val="00A50F5B"/>
    <w:rsid w:val="00A73572"/>
    <w:rsid w:val="00A76C09"/>
    <w:rsid w:val="00AB2156"/>
    <w:rsid w:val="00B84728"/>
    <w:rsid w:val="00BC0915"/>
    <w:rsid w:val="00CC3023"/>
    <w:rsid w:val="00CE52C3"/>
    <w:rsid w:val="00E05D2B"/>
    <w:rsid w:val="00E13A93"/>
    <w:rsid w:val="00F27A28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B560"/>
  <w15:chartTrackingRefBased/>
  <w15:docId w15:val="{6D65027B-0D8A-4D9F-A0D9-DFA4476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92F1F"/>
    <w:pPr>
      <w:tabs>
        <w:tab w:val="left" w:pos="0"/>
        <w:tab w:val="left" w:pos="720"/>
        <w:tab w:val="center" w:pos="1440"/>
        <w:tab w:val="right" w:pos="6480"/>
        <w:tab w:val="right" w:pos="828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2F1F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6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Harner</dc:creator>
  <cp:keywords/>
  <dc:description/>
  <cp:lastModifiedBy>Joshua Harner</cp:lastModifiedBy>
  <cp:revision>15</cp:revision>
  <cp:lastPrinted>2019-09-09T13:51:00Z</cp:lastPrinted>
  <dcterms:created xsi:type="dcterms:W3CDTF">2019-09-04T14:07:00Z</dcterms:created>
  <dcterms:modified xsi:type="dcterms:W3CDTF">2024-07-15T19:51:00Z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2024-07-15T19:51:15Z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a17bcca8-e3f9-4959-9189-fcd02ce38748</vt:lpwstr>
  </property>
  <property fmtid="{D5CDD505-2E9C-101B-9397-08002B2CF9AE}" pid="8" name="MSIP_Label_460f4a70-4b6c-4bd4-a002-31edb9c00abe_ContentBits">
    <vt:lpwstr>0</vt:lpwstr>
  </property>
</Properties>
</file>